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after="156" w:afterLines="50" w:line="560" w:lineRule="exact"/>
        <w:jc w:val="center"/>
        <w:rPr>
          <w:rFonts w:ascii="方正小标宋简体" w:hAnsi="方正小标宋简体" w:eastAsia="方正小标宋简体" w:cs="华文中宋"/>
          <w:b/>
          <w:bCs/>
          <w:sz w:val="40"/>
          <w:szCs w:val="44"/>
        </w:rPr>
      </w:pPr>
      <w:r>
        <w:rPr>
          <w:rFonts w:hint="eastAsia" w:ascii="方正小标宋简体" w:hAnsi="方正小标宋简体" w:eastAsia="方正小标宋简体" w:cs="华文中宋"/>
          <w:b/>
          <w:bCs/>
          <w:sz w:val="40"/>
          <w:szCs w:val="44"/>
        </w:rPr>
        <w:t>东南大学经济管理学院研究生荣誉称号评定规则</w:t>
      </w:r>
    </w:p>
    <w:p>
      <w:pPr>
        <w:widowControl/>
        <w:kinsoku w:val="0"/>
        <w:autoSpaceDE w:val="0"/>
        <w:autoSpaceDN w:val="0"/>
        <w:adjustRightInd w:val="0"/>
        <w:snapToGrid w:val="0"/>
        <w:spacing w:before="100" w:line="560" w:lineRule="exact"/>
        <w:jc w:val="center"/>
        <w:textAlignment w:val="baseline"/>
        <w:rPr>
          <w:rFonts w:hint="eastAsia" w:ascii="黑体" w:hAnsi="黑体" w:eastAsia="黑体" w:cs="黑体"/>
          <w:b w:val="0"/>
          <w:bCs w:val="0"/>
          <w:snapToGrid w:val="0"/>
          <w:color w:val="000000"/>
          <w:spacing w:val="8"/>
          <w:kern w:val="0"/>
          <w:sz w:val="32"/>
          <w:szCs w:val="32"/>
          <w14:textOutline w14:w="5791" w14:cap="flat" w14:cmpd="sng" w14:algn="ctr">
            <w14:solidFill>
              <w14:srgbClr w14:val="000000"/>
            </w14:solidFill>
            <w14:prstDash w14:val="solid"/>
            <w14:miter w14:val="0"/>
          </w14:textOutline>
        </w:rPr>
      </w:pPr>
    </w:p>
    <w:p>
      <w:pPr>
        <w:widowControl/>
        <w:kinsoku w:val="0"/>
        <w:autoSpaceDE w:val="0"/>
        <w:autoSpaceDN w:val="0"/>
        <w:adjustRightInd w:val="0"/>
        <w:snapToGrid w:val="0"/>
        <w:spacing w:before="100" w:line="560" w:lineRule="exact"/>
        <w:jc w:val="center"/>
        <w:textAlignment w:val="baseline"/>
        <w:rPr>
          <w:rFonts w:ascii="黑体" w:hAnsi="黑体" w:eastAsia="黑体" w:cs="黑体"/>
          <w:b w:val="0"/>
          <w:bCs w:val="0"/>
          <w:snapToGrid w:val="0"/>
          <w:color w:val="000000"/>
          <w:spacing w:val="8"/>
          <w:kern w:val="0"/>
          <w:sz w:val="32"/>
          <w:szCs w:val="32"/>
          <w14:textOutline w14:w="5791" w14:cap="flat" w14:cmpd="sng" w14:algn="ctr">
            <w14:solidFill>
              <w14:srgbClr w14:val="000000"/>
            </w14:solidFill>
            <w14:prstDash w14:val="solid"/>
            <w14:miter w14:val="0"/>
          </w14:textOutline>
        </w:rPr>
      </w:pPr>
      <w:r>
        <w:rPr>
          <w:rFonts w:hint="eastAsia" w:ascii="黑体" w:hAnsi="黑体" w:eastAsia="黑体" w:cs="黑体"/>
          <w:b w:val="0"/>
          <w:bCs w:val="0"/>
          <w:snapToGrid w:val="0"/>
          <w:color w:val="000000"/>
          <w:spacing w:val="8"/>
          <w:kern w:val="0"/>
          <w:sz w:val="32"/>
          <w:szCs w:val="32"/>
          <w14:textOutline w14:w="5791" w14:cap="flat" w14:cmpd="sng" w14:algn="ctr">
            <w14:solidFill>
              <w14:srgbClr w14:val="000000"/>
            </w14:solidFill>
            <w14:prstDash w14:val="solid"/>
            <w14:miter w14:val="0"/>
          </w14:textOutline>
        </w:rPr>
        <w:t>第一章  总  则</w:t>
      </w:r>
    </w:p>
    <w:p>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第一条 为深入贯彻党的教育方针，落实立德树人根本任务，秉承“止于至善”校训精神，</w:t>
      </w:r>
      <w:bookmarkStart w:id="0" w:name="_Toc235093553"/>
      <w:bookmarkStart w:id="1" w:name="_Toc236036136"/>
      <w:bookmarkStart w:id="2" w:name="_Toc242019232"/>
      <w:bookmarkStart w:id="3" w:name="_Toc240297035"/>
      <w:bookmarkStart w:id="4" w:name="_Toc242020063"/>
      <w:bookmarkStart w:id="5" w:name="_Toc237894277"/>
      <w:bookmarkStart w:id="6" w:name="_Toc236036126"/>
      <w:bookmarkStart w:id="7" w:name="_Toc234837096"/>
      <w:bookmarkStart w:id="8" w:name="_Toc240297029"/>
      <w:bookmarkStart w:id="9" w:name="_Toc234838568"/>
      <w:r>
        <w:rPr>
          <w:rFonts w:hint="eastAsia" w:ascii="仿宋" w:hAnsi="仿宋" w:eastAsia="仿宋" w:cs="仿宋"/>
          <w:kern w:val="0"/>
          <w:sz w:val="32"/>
          <w:szCs w:val="32"/>
        </w:rPr>
        <w:t>促进研究生德智体美劳全面发展</w:t>
      </w:r>
      <w:bookmarkEnd w:id="0"/>
      <w:bookmarkEnd w:id="1"/>
      <w:bookmarkEnd w:id="2"/>
      <w:bookmarkEnd w:id="3"/>
      <w:bookmarkEnd w:id="4"/>
      <w:bookmarkEnd w:id="5"/>
      <w:bookmarkEnd w:id="6"/>
      <w:bookmarkEnd w:id="7"/>
      <w:bookmarkEnd w:id="8"/>
      <w:bookmarkEnd w:id="9"/>
      <w:r>
        <w:rPr>
          <w:rFonts w:hint="eastAsia" w:ascii="仿宋" w:hAnsi="仿宋" w:eastAsia="仿宋" w:cs="仿宋"/>
          <w:kern w:val="0"/>
          <w:sz w:val="32"/>
          <w:szCs w:val="32"/>
        </w:rPr>
        <w:t>，努力成长为具有家国情怀和国际视野、担当引领未来和造福人类的领军人才，根据《东南大学研究生荣誉表彰办法（试行）》，结合我院实际，制定本办法。</w:t>
      </w:r>
    </w:p>
    <w:p>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第二条 本办法适用于东南大学学制内按期完成注册的全日制研究生。</w:t>
      </w:r>
    </w:p>
    <w:p>
      <w:pPr>
        <w:widowControl/>
        <w:spacing w:line="560" w:lineRule="exact"/>
        <w:ind w:firstLine="640" w:firstLineChars="200"/>
        <w:rPr>
          <w:rFonts w:ascii="仿宋_GB2312" w:hAnsi="楷体" w:eastAsia="仿宋_GB2312" w:cs="仿宋"/>
          <w:kern w:val="0"/>
          <w:sz w:val="32"/>
          <w:szCs w:val="32"/>
        </w:rPr>
      </w:pPr>
      <w:r>
        <w:rPr>
          <w:rFonts w:hint="eastAsia" w:ascii="仿宋" w:hAnsi="仿宋" w:eastAsia="仿宋" w:cs="仿宋"/>
          <w:kern w:val="0"/>
          <w:sz w:val="32"/>
          <w:szCs w:val="32"/>
        </w:rPr>
        <w:t>第三条 各项研究生荣誉的评定，坚持以德为先、能力为重、全面衡量、宁缺毋滥，遵循公开、公平、公正原则。</w:t>
      </w:r>
    </w:p>
    <w:p>
      <w:pPr>
        <w:widowControl/>
        <w:spacing w:line="560" w:lineRule="exact"/>
        <w:ind w:firstLine="640" w:firstLineChars="200"/>
        <w:rPr>
          <w:rFonts w:ascii="仿宋_GB2312" w:hAnsi="楷体" w:eastAsia="仿宋_GB2312" w:cs="仿宋"/>
          <w:kern w:val="0"/>
          <w:sz w:val="32"/>
          <w:szCs w:val="32"/>
        </w:rPr>
      </w:pPr>
    </w:p>
    <w:p>
      <w:pPr>
        <w:widowControl/>
        <w:kinsoku w:val="0"/>
        <w:autoSpaceDE w:val="0"/>
        <w:autoSpaceDN w:val="0"/>
        <w:adjustRightInd w:val="0"/>
        <w:snapToGrid w:val="0"/>
        <w:spacing w:before="100" w:line="560" w:lineRule="exact"/>
        <w:jc w:val="center"/>
        <w:textAlignment w:val="baseline"/>
        <w:rPr>
          <w:rFonts w:ascii="黑体" w:hAnsi="黑体" w:eastAsia="黑体" w:cs="黑体"/>
          <w:snapToGrid w:val="0"/>
          <w:color w:val="000000"/>
          <w:spacing w:val="8"/>
          <w:kern w:val="0"/>
          <w:sz w:val="31"/>
          <w:szCs w:val="31"/>
          <w14:textOutline w14:w="5791" w14:cap="flat" w14:cmpd="sng" w14:algn="ctr">
            <w14:solidFill>
              <w14:srgbClr w14:val="000000"/>
            </w14:solidFill>
            <w14:prstDash w14:val="solid"/>
            <w14:miter w14:val="0"/>
          </w14:textOutline>
        </w:rPr>
      </w:pPr>
      <w:r>
        <w:rPr>
          <w:rFonts w:ascii="黑体" w:hAnsi="黑体" w:eastAsia="黑体" w:cs="黑体"/>
          <w:snapToGrid w:val="0"/>
          <w:color w:val="000000"/>
          <w:spacing w:val="8"/>
          <w:kern w:val="0"/>
          <w:sz w:val="32"/>
          <w:szCs w:val="32"/>
          <w14:textOutline w14:w="5791" w14:cap="flat" w14:cmpd="sng" w14:algn="ctr">
            <w14:solidFill>
              <w14:srgbClr w14:val="000000"/>
            </w14:solidFill>
            <w14:prstDash w14:val="solid"/>
            <w14:miter w14:val="0"/>
          </w14:textOutline>
        </w:rPr>
        <w:t>第二章</w:t>
      </w:r>
      <w:r>
        <w:rPr>
          <w:rFonts w:hint="eastAsia" w:ascii="黑体" w:hAnsi="黑体" w:eastAsia="黑体" w:cs="黑体"/>
          <w:snapToGrid w:val="0"/>
          <w:color w:val="000000"/>
          <w:spacing w:val="8"/>
          <w:kern w:val="0"/>
          <w:sz w:val="32"/>
          <w:szCs w:val="32"/>
          <w14:textOutline w14:w="5791" w14:cap="flat" w14:cmpd="sng" w14:algn="ctr">
            <w14:solidFill>
              <w14:srgbClr w14:val="000000"/>
            </w14:solidFill>
            <w14:prstDash w14:val="solid"/>
            <w14:miter w14:val="0"/>
          </w14:textOutline>
        </w:rPr>
        <w:t xml:space="preserve">  </w:t>
      </w:r>
      <w:r>
        <w:rPr>
          <w:rFonts w:ascii="黑体" w:hAnsi="黑体" w:eastAsia="黑体" w:cs="黑体"/>
          <w:snapToGrid w:val="0"/>
          <w:color w:val="000000"/>
          <w:spacing w:val="8"/>
          <w:kern w:val="0"/>
          <w:sz w:val="32"/>
          <w:szCs w:val="32"/>
          <w14:textOutline w14:w="5791" w14:cap="flat" w14:cmpd="sng" w14:algn="ctr">
            <w14:solidFill>
              <w14:srgbClr w14:val="000000"/>
            </w14:solidFill>
            <w14:prstDash w14:val="solid"/>
            <w14:miter w14:val="0"/>
          </w14:textOutline>
        </w:rPr>
        <w:t>申报条件</w:t>
      </w:r>
    </w:p>
    <w:p>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第四条 申请各项荣誉表彰者必须具备以下基本条件：</w:t>
      </w:r>
    </w:p>
    <w:p>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 xml:space="preserve">（一）具有中华人民共和国国籍； </w:t>
      </w:r>
    </w:p>
    <w:p>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 xml:space="preserve">（二）热爱祖国，热爱人民，拥护中国共产党领导； </w:t>
      </w:r>
    </w:p>
    <w:p>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 xml:space="preserve">（三）遵守国家法律法规，遵守学校规章制度； </w:t>
      </w:r>
    </w:p>
    <w:p>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 xml:space="preserve">（四）诚实守信，遵守学术规范、恪守学术道德； </w:t>
      </w:r>
    </w:p>
    <w:p>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 xml:space="preserve">（五）勤奋学习，潜心科研，勇于探索，积极实践。 </w:t>
      </w:r>
    </w:p>
    <w:p>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 xml:space="preserve">第五条 有以下情况之一者，取消当年度荣誉表彰参评资格： </w:t>
      </w:r>
    </w:p>
    <w:p>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 xml:space="preserve">（一）参评学年受到院级及以上通报批评、纪律处分或纪律处分尚未解除的； </w:t>
      </w:r>
    </w:p>
    <w:p>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 xml:space="preserve">（二）在学术研究中，有违反学术道德行为； </w:t>
      </w:r>
    </w:p>
    <w:p>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 xml:space="preserve">（三）参评学年内保留学籍一年及以上或办理休学； </w:t>
      </w:r>
    </w:p>
    <w:p>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 xml:space="preserve">（四）其他应取消评选资格的情形。 </w:t>
      </w:r>
    </w:p>
    <w:p>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第六条 除上述条件以外，按当年研究生荣誉称号的相关申请条件执行。</w:t>
      </w:r>
    </w:p>
    <w:p>
      <w:pPr>
        <w:widowControl/>
        <w:spacing w:line="560" w:lineRule="exact"/>
        <w:ind w:firstLine="640" w:firstLineChars="200"/>
        <w:rPr>
          <w:rFonts w:ascii="仿宋_GB2312" w:hAnsi="楷体" w:eastAsia="仿宋_GB2312" w:cs="仿宋"/>
          <w:kern w:val="0"/>
          <w:sz w:val="32"/>
          <w:szCs w:val="32"/>
        </w:rPr>
      </w:pPr>
    </w:p>
    <w:p>
      <w:pPr>
        <w:widowControl/>
        <w:kinsoku w:val="0"/>
        <w:autoSpaceDE w:val="0"/>
        <w:autoSpaceDN w:val="0"/>
        <w:adjustRightInd w:val="0"/>
        <w:snapToGrid w:val="0"/>
        <w:spacing w:before="100" w:line="560" w:lineRule="exact"/>
        <w:jc w:val="center"/>
        <w:textAlignment w:val="baseline"/>
        <w:rPr>
          <w:rFonts w:ascii="黑体" w:hAnsi="黑体" w:eastAsia="黑体" w:cs="黑体"/>
          <w:snapToGrid w:val="0"/>
          <w:color w:val="000000"/>
          <w:spacing w:val="8"/>
          <w:kern w:val="0"/>
          <w:sz w:val="32"/>
          <w:szCs w:val="32"/>
          <w14:textOutline w14:w="5791" w14:cap="flat" w14:cmpd="sng" w14:algn="ctr">
            <w14:solidFill>
              <w14:srgbClr w14:val="000000"/>
            </w14:solidFill>
            <w14:prstDash w14:val="solid"/>
            <w14:miter w14:val="0"/>
          </w14:textOutline>
        </w:rPr>
      </w:pPr>
      <w:r>
        <w:rPr>
          <w:rFonts w:hint="eastAsia" w:ascii="黑体" w:hAnsi="黑体" w:eastAsia="黑体" w:cs="黑体"/>
          <w:snapToGrid w:val="0"/>
          <w:color w:val="000000"/>
          <w:spacing w:val="8"/>
          <w:kern w:val="0"/>
          <w:sz w:val="32"/>
          <w:szCs w:val="32"/>
          <w14:textOutline w14:w="5791" w14:cap="flat" w14:cmpd="sng" w14:algn="ctr">
            <w14:solidFill>
              <w14:srgbClr w14:val="000000"/>
            </w14:solidFill>
            <w14:prstDash w14:val="solid"/>
            <w14:miter w14:val="0"/>
          </w14:textOutline>
        </w:rPr>
        <w:t>第三章  评选原则</w:t>
      </w:r>
    </w:p>
    <w:p>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第七条 原则上</w:t>
      </w:r>
      <w:bookmarkStart w:id="10" w:name="_Hlk113263078"/>
      <w:r>
        <w:rPr>
          <w:rFonts w:hint="eastAsia" w:ascii="仿宋" w:hAnsi="仿宋" w:eastAsia="仿宋" w:cs="仿宋"/>
          <w:kern w:val="0"/>
          <w:sz w:val="32"/>
          <w:szCs w:val="32"/>
        </w:rPr>
        <w:t>研究生荣誉从在籍学制内的全日制研究生（不含留学生和一年级研究生新生（一年级硕博连读博士研究生除外））</w:t>
      </w:r>
      <w:bookmarkEnd w:id="10"/>
      <w:r>
        <w:rPr>
          <w:rFonts w:hint="eastAsia" w:ascii="仿宋" w:hAnsi="仿宋" w:eastAsia="仿宋" w:cs="仿宋"/>
          <w:kern w:val="0"/>
          <w:sz w:val="32"/>
          <w:szCs w:val="32"/>
        </w:rPr>
        <w:t>中评定。</w:t>
      </w:r>
    </w:p>
    <w:p>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第八条 个人荣誉称号评选和奖励办法</w:t>
      </w:r>
    </w:p>
    <w:p>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 xml:space="preserve">（一）三好研究生 </w:t>
      </w:r>
    </w:p>
    <w:p>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 xml:space="preserve">1.具有正确的政治立场和坚定的爱国主义信念，具有良好的道德修养和审美情趣，热爱学校，热爱集体，团结同学； </w:t>
      </w:r>
    </w:p>
    <w:p>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 xml:space="preserve">2.勤奋学习，潜心科研。一年级硕士研究生首修规格化平均成绩不低于80分，且无不及格课程。其余年级研究生在科学研究、创新实践等方面表现突出； </w:t>
      </w:r>
    </w:p>
    <w:p>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 xml:space="preserve">3.坚持体育锻炼，具有健康的体魄和良好的心理素质； </w:t>
      </w:r>
    </w:p>
    <w:p>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 xml:space="preserve">4.热爱劳动，积极参加社会实践、志愿服务、公益活动等，有强烈的社会责任感； </w:t>
      </w:r>
    </w:p>
    <w:p>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 xml:space="preserve">5.所评学年宿舍平均卫生成绩在90分及以上。 </w:t>
      </w:r>
    </w:p>
    <w:p>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 xml:space="preserve">（二）三好研究生标兵 </w:t>
      </w:r>
    </w:p>
    <w:p>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 xml:space="preserve">三好研究生标兵除具备三好研究生的条件外，在科学研究、创新实践、社会实践、志愿服务等方面有出色表现，取得突出成绩，具有先锋模范作用，在校内外产生一定影响。三好研究和三好研究生标兵，同一学年不兼得。 </w:t>
      </w:r>
    </w:p>
    <w:p>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 xml:space="preserve">（三）优秀研究生干部 </w:t>
      </w:r>
    </w:p>
    <w:p>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 xml:space="preserve">优秀研究生干部除具备三好研究生的条件外，还须满足下列评选条件： </w:t>
      </w:r>
    </w:p>
    <w:p>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 xml:space="preserve">1.在班级、党团组织或院系级及以上研究生会等学校认定的学生组织中担任主要学生干部且工作满一年； </w:t>
      </w:r>
    </w:p>
    <w:p>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 xml:space="preserve">2.具有较强的组织、管理和协调能力，工作积极主动、富有成效； </w:t>
      </w:r>
    </w:p>
    <w:p>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 xml:space="preserve">3.热心为集体服务，在同学中有较高的认可度，起到模范带头作用。 </w:t>
      </w:r>
    </w:p>
    <w:p>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 xml:space="preserve">（四）优秀研究生干部标兵 </w:t>
      </w:r>
    </w:p>
    <w:p>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优秀研究生干部标兵除具备优秀研究生干部的条件外，在社会工作中表现出色，成绩突出，具有先锋模范作用，在校内外产生一定影响。优秀研究生干部和优秀研究生干部标兵，同一学年不兼得。</w:t>
      </w:r>
    </w:p>
    <w:p>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 xml:space="preserve">（五）单项先进个人 </w:t>
      </w:r>
    </w:p>
    <w:p>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 xml:space="preserve">表彰一批在学业成绩、学术创新、实践劳动、社会服务、体育美育方面的先进个人。单项先进个人和三好研究生及标兵、优秀研究生干部及标兵，同一学年不兼得。 </w:t>
      </w:r>
    </w:p>
    <w:p>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 xml:space="preserve">1.学业成绩先进个人：在硕士研究生、直博生第二学年秋季学期进行评选，评选条件如下：课程学习无首修不及格，学习成绩名列前茅，首修规格化平均成绩高于80分，且排名年级前5%。 </w:t>
      </w:r>
    </w:p>
    <w:p>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 xml:space="preserve">2.学术创新先进个人：参评学年满足以下条件之一的研究生有参评资格： </w:t>
      </w:r>
    </w:p>
    <w:p>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 xml:space="preserve">（1）在校级及以上学科竞赛中获奖； </w:t>
      </w:r>
    </w:p>
    <w:p>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 xml:space="preserve">（2）获得已授权的发明专利（本人排第一或导师第一本人第二）； </w:t>
      </w:r>
    </w:p>
    <w:p>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 xml:space="preserve">（3）发表高水平论文（本人第一作者或者导师第一作者本人第二作者）； </w:t>
      </w:r>
    </w:p>
    <w:p>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 xml:space="preserve">（4）本学年参加有较大影响的学术会议，论文被录用（本人第一作者或者导师第一作者本人第二作者）； </w:t>
      </w:r>
    </w:p>
    <w:p>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 xml:space="preserve">（5）其他在学术科研活动中取得突出成绩。 </w:t>
      </w:r>
    </w:p>
    <w:p>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 xml:space="preserve">3.实践劳动先进个人：在社会实践、专业实践、劳动实践等活动中表现突出的个人。 </w:t>
      </w:r>
    </w:p>
    <w:p>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 xml:space="preserve">4.社会服务先进个人：在公益活动、志愿服务、学生工作等方面表现突出的个人。 </w:t>
      </w:r>
    </w:p>
    <w:p>
      <w:pPr>
        <w:widowControl/>
        <w:spacing w:line="560" w:lineRule="exact"/>
        <w:ind w:firstLine="640" w:firstLineChars="200"/>
        <w:rPr>
          <w:rFonts w:ascii="仿宋_GB2312" w:hAnsi="楷体" w:eastAsia="仿宋_GB2312" w:cs="仿宋"/>
          <w:kern w:val="0"/>
          <w:sz w:val="32"/>
          <w:szCs w:val="32"/>
        </w:rPr>
      </w:pPr>
      <w:r>
        <w:rPr>
          <w:rFonts w:hint="eastAsia" w:ascii="仿宋" w:hAnsi="仿宋" w:eastAsia="仿宋" w:cs="仿宋"/>
          <w:kern w:val="0"/>
          <w:sz w:val="32"/>
          <w:szCs w:val="32"/>
        </w:rPr>
        <w:t>5.体育美育先进个人：在学院及以上体育比赛、艺术展演等活动中表现突出的个人。</w:t>
      </w:r>
      <w:r>
        <w:rPr>
          <w:rFonts w:ascii="仿宋_GB2312" w:hAnsi="楷体" w:eastAsia="仿宋_GB2312" w:cs="仿宋"/>
          <w:kern w:val="0"/>
          <w:sz w:val="32"/>
          <w:szCs w:val="32"/>
        </w:rPr>
        <w:t xml:space="preserve"> </w:t>
      </w:r>
    </w:p>
    <w:p>
      <w:pPr>
        <w:widowControl/>
        <w:spacing w:line="560" w:lineRule="exact"/>
        <w:ind w:firstLine="640" w:firstLineChars="200"/>
        <w:rPr>
          <w:rFonts w:ascii="仿宋_GB2312" w:hAnsi="楷体" w:eastAsia="仿宋_GB2312" w:cs="仿宋"/>
          <w:kern w:val="0"/>
          <w:sz w:val="32"/>
          <w:szCs w:val="32"/>
        </w:rPr>
      </w:pPr>
    </w:p>
    <w:p>
      <w:pPr>
        <w:widowControl/>
        <w:kinsoku w:val="0"/>
        <w:autoSpaceDE w:val="0"/>
        <w:autoSpaceDN w:val="0"/>
        <w:adjustRightInd w:val="0"/>
        <w:snapToGrid w:val="0"/>
        <w:spacing w:before="100" w:line="560" w:lineRule="exact"/>
        <w:jc w:val="center"/>
        <w:textAlignment w:val="baseline"/>
        <w:rPr>
          <w:rFonts w:ascii="黑体" w:hAnsi="黑体" w:eastAsia="黑体" w:cs="黑体"/>
          <w:snapToGrid w:val="0"/>
          <w:color w:val="000000"/>
          <w:spacing w:val="8"/>
          <w:kern w:val="0"/>
          <w:sz w:val="32"/>
          <w:szCs w:val="32"/>
          <w14:textOutline w14:w="5791" w14:cap="flat" w14:cmpd="sng" w14:algn="ctr">
            <w14:solidFill>
              <w14:srgbClr w14:val="000000"/>
            </w14:solidFill>
            <w14:prstDash w14:val="solid"/>
            <w14:miter w14:val="0"/>
          </w14:textOutline>
        </w:rPr>
      </w:pPr>
      <w:r>
        <w:rPr>
          <w:rFonts w:hint="eastAsia" w:ascii="黑体" w:hAnsi="黑体" w:eastAsia="黑体" w:cs="黑体"/>
          <w:snapToGrid w:val="0"/>
          <w:color w:val="000000"/>
          <w:spacing w:val="8"/>
          <w:kern w:val="0"/>
          <w:sz w:val="32"/>
          <w:szCs w:val="32"/>
          <w14:textOutline w14:w="5791" w14:cap="flat" w14:cmpd="sng" w14:algn="ctr">
            <w14:solidFill>
              <w14:srgbClr w14:val="000000"/>
            </w14:solidFill>
            <w14:prstDash w14:val="solid"/>
            <w14:miter w14:val="0"/>
          </w14:textOutline>
        </w:rPr>
        <w:t>第四章  评审及申诉机构</w:t>
      </w:r>
    </w:p>
    <w:p>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第九条 评审组：分管学生工作的副书记任组长，导师代表、管理人员代表、辅导员代表和研究生代表等组成。</w:t>
      </w:r>
    </w:p>
    <w:p>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第十条 申诉组：由分管学生工作的副书记及相关老师组成。</w:t>
      </w:r>
    </w:p>
    <w:p>
      <w:pPr>
        <w:widowControl/>
        <w:spacing w:line="560" w:lineRule="exact"/>
        <w:ind w:firstLine="640" w:firstLineChars="200"/>
        <w:rPr>
          <w:rFonts w:ascii="仿宋_GB2312" w:hAnsi="楷体" w:eastAsia="仿宋_GB2312" w:cs="仿宋"/>
          <w:kern w:val="0"/>
          <w:sz w:val="32"/>
          <w:szCs w:val="32"/>
        </w:rPr>
      </w:pPr>
    </w:p>
    <w:p>
      <w:pPr>
        <w:widowControl/>
        <w:kinsoku w:val="0"/>
        <w:autoSpaceDE w:val="0"/>
        <w:autoSpaceDN w:val="0"/>
        <w:adjustRightInd w:val="0"/>
        <w:snapToGrid w:val="0"/>
        <w:spacing w:before="100" w:line="560" w:lineRule="exact"/>
        <w:jc w:val="center"/>
        <w:textAlignment w:val="baseline"/>
        <w:rPr>
          <w:rFonts w:ascii="黑体" w:hAnsi="黑体" w:eastAsia="黑体" w:cs="黑体"/>
          <w:snapToGrid w:val="0"/>
          <w:color w:val="000000"/>
          <w:spacing w:val="8"/>
          <w:kern w:val="0"/>
          <w:sz w:val="32"/>
          <w:szCs w:val="32"/>
          <w14:textOutline w14:w="5791" w14:cap="flat" w14:cmpd="sng" w14:algn="ctr">
            <w14:solidFill>
              <w14:srgbClr w14:val="000000"/>
            </w14:solidFill>
            <w14:prstDash w14:val="solid"/>
            <w14:miter w14:val="0"/>
          </w14:textOutline>
        </w:rPr>
      </w:pPr>
      <w:r>
        <w:rPr>
          <w:rFonts w:hint="eastAsia" w:ascii="黑体" w:hAnsi="黑体" w:eastAsia="黑体" w:cs="黑体"/>
          <w:snapToGrid w:val="0"/>
          <w:color w:val="000000"/>
          <w:spacing w:val="8"/>
          <w:kern w:val="0"/>
          <w:sz w:val="32"/>
          <w:szCs w:val="32"/>
          <w14:textOutline w14:w="5791" w14:cap="flat" w14:cmpd="sng" w14:algn="ctr">
            <w14:solidFill>
              <w14:srgbClr w14:val="000000"/>
            </w14:solidFill>
            <w14:prstDash w14:val="solid"/>
            <w14:miter w14:val="0"/>
          </w14:textOutline>
        </w:rPr>
        <w:t>第五章  评定程序</w:t>
      </w:r>
    </w:p>
    <w:p>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第十一条 学校学院下发通知后，由学生本人依照评选条件向所在班级提出申请，班级成立民主评议小组，对申请人进行民主评议，确定候选人并报至评审组。</w:t>
      </w:r>
    </w:p>
    <w:p>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第十二条 评审组接到申请后，依据《东南大学研究生荣誉表彰办法（试行）》及本规则进行审核</w:t>
      </w:r>
      <w:bookmarkStart w:id="11" w:name="_GoBack"/>
      <w:bookmarkEnd w:id="11"/>
      <w:r>
        <w:rPr>
          <w:rFonts w:hint="eastAsia" w:ascii="仿宋" w:hAnsi="仿宋" w:eastAsia="仿宋" w:cs="仿宋"/>
          <w:kern w:val="0"/>
          <w:sz w:val="32"/>
          <w:szCs w:val="32"/>
        </w:rPr>
        <w:t>，确定评定结果。评定结果在学院范围内公示。</w:t>
      </w:r>
    </w:p>
    <w:p>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第十三条 公示期间，学生对荣誉称号申报资格审核或评定结果有异议者，向申诉组反映。申诉组及时受理并给予反馈。</w:t>
      </w:r>
    </w:p>
    <w:p>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第十四条 公示无异议后，将名单和相关材料报送学校。</w:t>
      </w:r>
    </w:p>
    <w:p>
      <w:pPr>
        <w:widowControl/>
        <w:spacing w:line="560" w:lineRule="exact"/>
        <w:ind w:firstLine="640" w:firstLineChars="200"/>
        <w:rPr>
          <w:rFonts w:ascii="仿宋_GB2312" w:hAnsi="楷体" w:eastAsia="仿宋_GB2312" w:cs="仿宋"/>
          <w:kern w:val="0"/>
          <w:sz w:val="32"/>
          <w:szCs w:val="32"/>
        </w:rPr>
      </w:pPr>
    </w:p>
    <w:p>
      <w:pPr>
        <w:widowControl/>
        <w:kinsoku w:val="0"/>
        <w:autoSpaceDE w:val="0"/>
        <w:autoSpaceDN w:val="0"/>
        <w:adjustRightInd w:val="0"/>
        <w:snapToGrid w:val="0"/>
        <w:spacing w:before="100" w:line="560" w:lineRule="exact"/>
        <w:jc w:val="center"/>
        <w:textAlignment w:val="baseline"/>
        <w:rPr>
          <w:rFonts w:ascii="黑体" w:hAnsi="黑体" w:eastAsia="黑体" w:cs="黑体"/>
          <w:snapToGrid w:val="0"/>
          <w:color w:val="000000"/>
          <w:spacing w:val="8"/>
          <w:kern w:val="0"/>
          <w:sz w:val="32"/>
          <w:szCs w:val="32"/>
          <w14:textOutline w14:w="5791" w14:cap="flat" w14:cmpd="sng" w14:algn="ctr">
            <w14:solidFill>
              <w14:srgbClr w14:val="000000"/>
            </w14:solidFill>
            <w14:prstDash w14:val="solid"/>
            <w14:miter w14:val="0"/>
          </w14:textOutline>
        </w:rPr>
      </w:pPr>
      <w:r>
        <w:rPr>
          <w:rFonts w:hint="eastAsia" w:ascii="黑体" w:hAnsi="黑体" w:eastAsia="黑体" w:cs="黑体"/>
          <w:snapToGrid w:val="0"/>
          <w:color w:val="000000"/>
          <w:spacing w:val="8"/>
          <w:kern w:val="0"/>
          <w:sz w:val="32"/>
          <w:szCs w:val="32"/>
          <w14:textOutline w14:w="5791" w14:cap="flat" w14:cmpd="sng" w14:algn="ctr">
            <w14:solidFill>
              <w14:srgbClr w14:val="000000"/>
            </w14:solidFill>
            <w14:prstDash w14:val="solid"/>
            <w14:miter w14:val="0"/>
          </w14:textOutline>
        </w:rPr>
        <w:t>第六章  附  则</w:t>
      </w:r>
    </w:p>
    <w:p>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第十五条 获得荣誉称号的学生，应遵纪守法，遵守学校的各项规章制度，刻苦学习，努力上进，全面提高自身素质，积极投身到学校社会各项公益活动和班党团建设中，并在学风建设和科学研究中做出应有的贡献。</w:t>
      </w:r>
    </w:p>
    <w:p>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第十六条 荣誉称号评定过程中，凡发现有弄虚作假行为，取消其当学年参评资格，并且在校期间不得参加任何荣誉申请，情节严重者根据相关规定给予相应的纪律处分。</w:t>
      </w:r>
    </w:p>
    <w:p>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第十七条 因荣誉称号名额等不确定因素的影响，学院可对当年度评定方案进行适当调整。</w:t>
      </w:r>
    </w:p>
    <w:p>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第十八条 本规则自发布之日起实施。</w:t>
      </w:r>
    </w:p>
    <w:p>
      <w:pPr>
        <w:widowControl/>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第十九条 本规则由经济管理学院研究生工作办公室负责解释。</w:t>
      </w:r>
    </w:p>
    <w:p>
      <w:pPr>
        <w:spacing w:line="560" w:lineRule="exact"/>
        <w:jc w:val="right"/>
        <w:rPr>
          <w:rFonts w:hint="eastAsia" w:ascii="仿宋" w:hAnsi="仿宋" w:eastAsia="仿宋" w:cs="仿宋"/>
          <w:sz w:val="28"/>
          <w:szCs w:val="28"/>
        </w:rPr>
      </w:pPr>
    </w:p>
    <w:p>
      <w:pPr>
        <w:widowControl/>
        <w:spacing w:line="560" w:lineRule="exact"/>
        <w:ind w:firstLine="640" w:firstLineChars="200"/>
        <w:jc w:val="right"/>
        <w:rPr>
          <w:rFonts w:hint="eastAsia" w:ascii="仿宋" w:hAnsi="仿宋" w:eastAsia="仿宋" w:cs="仿宋"/>
          <w:kern w:val="0"/>
          <w:sz w:val="32"/>
          <w:szCs w:val="32"/>
        </w:rPr>
      </w:pPr>
      <w:r>
        <w:rPr>
          <w:rFonts w:hint="eastAsia" w:ascii="仿宋" w:hAnsi="仿宋" w:eastAsia="仿宋" w:cs="仿宋"/>
          <w:kern w:val="0"/>
          <w:sz w:val="32"/>
          <w:szCs w:val="32"/>
        </w:rPr>
        <w:t>东南大学经济管理学院</w:t>
      </w:r>
    </w:p>
    <w:p>
      <w:pPr>
        <w:widowControl/>
        <w:spacing w:line="560" w:lineRule="exact"/>
        <w:ind w:firstLine="640" w:firstLineChars="200"/>
        <w:jc w:val="right"/>
        <w:rPr>
          <w:rFonts w:ascii="仿宋_GB2312" w:hAnsi="楷体" w:eastAsia="仿宋_GB2312" w:cs="仿宋"/>
          <w:kern w:val="0"/>
          <w:sz w:val="32"/>
          <w:szCs w:val="32"/>
        </w:rPr>
      </w:pPr>
      <w:r>
        <w:rPr>
          <w:rFonts w:hint="eastAsia" w:ascii="仿宋" w:hAnsi="仿宋" w:eastAsia="仿宋" w:cs="仿宋"/>
          <w:kern w:val="0"/>
          <w:sz w:val="32"/>
          <w:szCs w:val="32"/>
        </w:rPr>
        <w:t>二零二二年九月九日</w:t>
      </w:r>
    </w:p>
    <w:p>
      <w:pPr>
        <w:spacing w:line="560" w:lineRule="exact"/>
        <w:rPr>
          <w:rFonts w:ascii="Arial" w:hAnsi="Arial" w:cs="Arial"/>
          <w:sz w:val="28"/>
          <w:szCs w:val="28"/>
        </w:rPr>
      </w:pPr>
    </w:p>
    <w:sectPr>
      <w:pgSz w:w="11906" w:h="16838"/>
      <w:pgMar w:top="1984" w:right="1531" w:bottom="198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script"/>
    <w:pitch w:val="default"/>
    <w:sig w:usb0="A00002BF" w:usb1="184F6CFA" w:usb2="00000012" w:usb3="00000000" w:csb0="00040001"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lNzk4NDNiNmNiMmFmOTliMWU3NTFkZWUyMDc5ZTIifQ=="/>
  </w:docVars>
  <w:rsids>
    <w:rsidRoot w:val="00610C9C"/>
    <w:rsid w:val="00001AD6"/>
    <w:rsid w:val="004F290C"/>
    <w:rsid w:val="00610C9C"/>
    <w:rsid w:val="00683AF4"/>
    <w:rsid w:val="008F256A"/>
    <w:rsid w:val="00CD1D50"/>
    <w:rsid w:val="00CF655F"/>
    <w:rsid w:val="00D71DE7"/>
    <w:rsid w:val="00E37AD9"/>
    <w:rsid w:val="01AB0B2E"/>
    <w:rsid w:val="161B2761"/>
    <w:rsid w:val="2147566D"/>
    <w:rsid w:val="276B4EA5"/>
    <w:rsid w:val="27AD13BB"/>
    <w:rsid w:val="28D20D71"/>
    <w:rsid w:val="3B0D2535"/>
    <w:rsid w:val="3CB14916"/>
    <w:rsid w:val="40D4783D"/>
    <w:rsid w:val="44F351A8"/>
    <w:rsid w:val="590964CE"/>
    <w:rsid w:val="6DC267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styleId="6">
    <w:name w:val="Strong"/>
    <w:basedOn w:val="5"/>
    <w:qFormat/>
    <w:uiPriority w:val="0"/>
    <w:rPr>
      <w:b/>
      <w:bCs/>
    </w:rPr>
  </w:style>
  <w:style w:type="character" w:customStyle="1" w:styleId="7">
    <w:name w:val="页眉 Char"/>
    <w:basedOn w:val="5"/>
    <w:link w:val="3"/>
    <w:qFormat/>
    <w:uiPriority w:val="0"/>
    <w:rPr>
      <w:kern w:val="2"/>
      <w:sz w:val="18"/>
      <w:szCs w:val="18"/>
    </w:rPr>
  </w:style>
  <w:style w:type="character" w:customStyle="1" w:styleId="8">
    <w:name w:val="页脚 Char"/>
    <w:basedOn w:val="5"/>
    <w:link w:val="2"/>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D9EEFD-C356-4F86-9091-9ED9FE26250B}">
  <ds:schemaRefs/>
</ds:datastoreItem>
</file>

<file path=docProps/app.xml><?xml version="1.0" encoding="utf-8"?>
<Properties xmlns="http://schemas.openxmlformats.org/officeDocument/2006/extended-properties" xmlns:vt="http://schemas.openxmlformats.org/officeDocument/2006/docPropsVTypes">
  <Template>Normal.dotm</Template>
  <Pages>6</Pages>
  <Words>2208</Words>
  <Characters>2225</Characters>
  <Lines>16</Lines>
  <Paragraphs>4</Paragraphs>
  <TotalTime>22</TotalTime>
  <ScaleCrop>false</ScaleCrop>
  <LinksUpToDate>false</LinksUpToDate>
  <CharactersWithSpaces>2296</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2022-09-09T09:14:00Z</dcterms:created>
  <dc:creator>HP</dc:creator>
  <cp:lastModifiedBy>A</cp:lastModifiedBy>
  <dcterms:modified xsi:type="dcterms:W3CDTF">2022-09-09T10:55:20Z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FC85FD40EDF043A48948F823B66820CD</vt:lpwstr>
  </property>
</Properties>
</file>